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hint="eastAsia" w:ascii="华文仿宋" w:hAnsi="华文仿宋" w:eastAsia="华文仿宋" w:cs="宋体"/>
          <w:b/>
          <w:bCs/>
          <w:color w:val="464445"/>
          <w:kern w:val="0"/>
          <w:sz w:val="24"/>
          <w:szCs w:val="24"/>
        </w:rPr>
      </w:pPr>
      <w:r>
        <w:rPr>
          <w:rFonts w:hint="eastAsia" w:ascii="华文仿宋" w:hAnsi="华文仿宋" w:eastAsia="华文仿宋" w:cs="宋体"/>
          <w:b/>
          <w:bCs/>
          <w:color w:val="464445"/>
          <w:kern w:val="0"/>
          <w:sz w:val="24"/>
          <w:szCs w:val="24"/>
        </w:rPr>
        <w:t>烟花爆竹买卖协议</w:t>
      </w:r>
    </w:p>
    <w:p>
      <w:pPr>
        <w:widowControl/>
        <w:shd w:val="clear" w:color="auto" w:fill="FFFFFF"/>
        <w:jc w:val="center"/>
        <w:rPr>
          <w:rFonts w:hint="eastAsia" w:ascii="华文仿宋" w:hAnsi="华文仿宋" w:eastAsia="华文仿宋" w:cs="宋体"/>
          <w:b/>
          <w:bCs/>
          <w:color w:val="464445"/>
          <w:kern w:val="0"/>
          <w:sz w:val="24"/>
          <w:szCs w:val="24"/>
        </w:rPr>
      </w:pPr>
    </w:p>
    <w:p>
      <w:pPr>
        <w:widowControl/>
        <w:shd w:val="clear" w:color="auto" w:fill="FFFFFF"/>
        <w:jc w:val="center"/>
        <w:rPr>
          <w:rFonts w:hint="eastAsia" w:ascii="华文仿宋" w:hAnsi="华文仿宋" w:eastAsia="华文仿宋" w:cs="宋体"/>
          <w:b/>
          <w:bCs/>
          <w:color w:val="464445"/>
          <w:kern w:val="0"/>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出卖人（甲方）：</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p>
    <w:p>
      <w:pPr>
        <w:tabs>
          <w:tab w:val="left" w:pos="4800"/>
        </w:tabs>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法定代表人：</w:t>
      </w:r>
    </w:p>
    <w:p>
      <w:pPr>
        <w:snapToGrid w:val="0"/>
        <w:spacing w:before="156" w:beforeLines="50" w:after="156" w:afterLines="50" w:line="300" w:lineRule="auto"/>
        <w:rPr>
          <w:rFonts w:hint="eastAsia"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买受人（乙方）：</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p>
    <w:p>
      <w:pPr>
        <w:tabs>
          <w:tab w:val="left" w:pos="4800"/>
        </w:tabs>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法定代表人：</w:t>
      </w:r>
    </w:p>
    <w:p>
      <w:pPr>
        <w:widowControl/>
        <w:shd w:val="clear" w:color="auto" w:fill="FFFFFF"/>
        <w:rPr>
          <w:rFonts w:ascii="华文仿宋" w:hAnsi="华文仿宋" w:eastAsia="华文仿宋" w:cs="宋体"/>
          <w:b/>
          <w:bCs/>
          <w:color w:val="464445"/>
          <w:kern w:val="0"/>
          <w:sz w:val="24"/>
          <w:szCs w:val="24"/>
        </w:rPr>
      </w:pPr>
    </w:p>
    <w:p>
      <w:pPr>
        <w:widowControl/>
        <w:shd w:val="clear" w:color="auto" w:fill="FFFFFF"/>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订  货  清  单</w:t>
      </w:r>
    </w:p>
    <w:tbl>
      <w:tblPr>
        <w:tblStyle w:val="6"/>
        <w:tblW w:w="8266" w:type="dxa"/>
        <w:jc w:val="center"/>
        <w:tblInd w:w="0" w:type="dxa"/>
        <w:tblLayout w:type="fixed"/>
        <w:tblCellMar>
          <w:top w:w="0" w:type="dxa"/>
          <w:left w:w="0" w:type="dxa"/>
          <w:bottom w:w="0" w:type="dxa"/>
          <w:right w:w="0" w:type="dxa"/>
        </w:tblCellMar>
      </w:tblPr>
      <w:tblGrid>
        <w:gridCol w:w="894"/>
        <w:gridCol w:w="222"/>
        <w:gridCol w:w="1303"/>
        <w:gridCol w:w="650"/>
        <w:gridCol w:w="456"/>
        <w:gridCol w:w="722"/>
        <w:gridCol w:w="456"/>
        <w:gridCol w:w="696"/>
        <w:gridCol w:w="484"/>
        <w:gridCol w:w="222"/>
        <w:gridCol w:w="830"/>
        <w:gridCol w:w="225"/>
        <w:gridCol w:w="1106"/>
      </w:tblGrid>
      <w:tr>
        <w:tblPrEx>
          <w:tblLayout w:type="fixed"/>
          <w:tblCellMar>
            <w:top w:w="0" w:type="dxa"/>
            <w:left w:w="0" w:type="dxa"/>
            <w:bottom w:w="0" w:type="dxa"/>
            <w:right w:w="0" w:type="dxa"/>
          </w:tblCellMar>
        </w:tblPrEx>
        <w:trPr>
          <w:trHeight w:val="284" w:hRule="atLeast"/>
          <w:jc w:val="center"/>
        </w:trPr>
        <w:tc>
          <w:tcPr>
            <w:tcW w:w="89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000000"/>
                <w:kern w:val="0"/>
                <w:sz w:val="24"/>
                <w:szCs w:val="24"/>
              </w:rPr>
              <w:t>产品代码</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000000"/>
                <w:kern w:val="0"/>
                <w:sz w:val="24"/>
                <w:szCs w:val="24"/>
              </w:rPr>
              <w:t>(同流向登记的产品代码</w:t>
            </w:r>
            <w:r>
              <w:rPr>
                <w:rFonts w:hint="eastAsia" w:ascii="华文仿宋" w:hAnsi="华文仿宋" w:eastAsia="华文仿宋" w:cs="宋体"/>
                <w:color w:val="464445"/>
                <w:kern w:val="0"/>
                <w:sz w:val="24"/>
                <w:szCs w:val="24"/>
              </w:rPr>
              <w:t>)</w:t>
            </w:r>
          </w:p>
        </w:tc>
        <w:tc>
          <w:tcPr>
            <w:tcW w:w="222" w:type="dxa"/>
            <w:tcBorders>
              <w:top w:val="single" w:color="auto" w:sz="8"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产品名称</w:t>
            </w:r>
          </w:p>
        </w:tc>
        <w:tc>
          <w:tcPr>
            <w:tcW w:w="650"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产品类别</w:t>
            </w:r>
          </w:p>
        </w:tc>
        <w:tc>
          <w:tcPr>
            <w:tcW w:w="456"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产品</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级别</w:t>
            </w:r>
          </w:p>
        </w:tc>
        <w:tc>
          <w:tcPr>
            <w:tcW w:w="722"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规格/型号</w:t>
            </w:r>
          </w:p>
        </w:tc>
        <w:tc>
          <w:tcPr>
            <w:tcW w:w="456"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计量</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单位</w:t>
            </w:r>
          </w:p>
        </w:tc>
        <w:tc>
          <w:tcPr>
            <w:tcW w:w="696" w:type="dxa"/>
            <w:tcBorders>
              <w:top w:val="single" w:color="auto" w:sz="8"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箱含药量</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（千克）</w:t>
            </w:r>
          </w:p>
        </w:tc>
        <w:tc>
          <w:tcPr>
            <w:tcW w:w="484" w:type="dxa"/>
            <w:tcBorders>
              <w:top w:val="single" w:color="auto" w:sz="8" w:space="0"/>
              <w:left w:val="single" w:color="auto" w:sz="4"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订 货</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数 量</w:t>
            </w:r>
          </w:p>
        </w:tc>
        <w:tc>
          <w:tcPr>
            <w:tcW w:w="222" w:type="dxa"/>
            <w:tcBorders>
              <w:top w:val="single" w:color="auto" w:sz="8"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p>
            <w:pPr>
              <w:widowControl/>
              <w:jc w:val="center"/>
              <w:rPr>
                <w:rFonts w:ascii="华文仿宋" w:hAnsi="华文仿宋" w:eastAsia="华文仿宋" w:cs="宋体"/>
                <w:color w:val="464445"/>
                <w:kern w:val="0"/>
                <w:sz w:val="24"/>
                <w:szCs w:val="24"/>
              </w:rPr>
            </w:pPr>
          </w:p>
        </w:tc>
        <w:tc>
          <w:tcPr>
            <w:tcW w:w="830" w:type="dxa"/>
            <w:tcBorders>
              <w:top w:val="single" w:color="auto" w:sz="8" w:space="0"/>
              <w:left w:val="single" w:color="auto" w:sz="4" w:space="0"/>
              <w:bottom w:val="single" w:color="auto" w:sz="8"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单 价</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（元）</w:t>
            </w:r>
          </w:p>
        </w:tc>
        <w:tc>
          <w:tcPr>
            <w:tcW w:w="225" w:type="dxa"/>
            <w:tcBorders>
              <w:top w:val="single" w:color="auto" w:sz="8"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p>
            <w:pPr>
              <w:widowControl/>
              <w:jc w:val="center"/>
              <w:rPr>
                <w:rFonts w:ascii="华文仿宋" w:hAnsi="华文仿宋" w:eastAsia="华文仿宋" w:cs="宋体"/>
                <w:color w:val="464445"/>
                <w:kern w:val="0"/>
                <w:sz w:val="24"/>
                <w:szCs w:val="24"/>
              </w:rPr>
            </w:pPr>
          </w:p>
        </w:tc>
        <w:tc>
          <w:tcPr>
            <w:tcW w:w="1106" w:type="dxa"/>
            <w:tcBorders>
              <w:top w:val="single" w:color="auto" w:sz="8" w:space="0"/>
              <w:left w:val="single" w:color="auto" w:sz="4" w:space="0"/>
              <w:bottom w:val="single" w:color="auto" w:sz="8"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金 额</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（元）</w:t>
            </w:r>
          </w:p>
        </w:tc>
      </w:tr>
      <w:tr>
        <w:tblPrEx>
          <w:tblLayout w:type="fixed"/>
          <w:tblCellMar>
            <w:top w:w="0" w:type="dxa"/>
            <w:left w:w="0" w:type="dxa"/>
            <w:bottom w:w="0" w:type="dxa"/>
            <w:right w:w="0" w:type="dxa"/>
          </w:tblCellMar>
        </w:tblPrEx>
        <w:trPr>
          <w:trHeight w:val="345" w:hRule="atLeast"/>
          <w:jc w:val="center"/>
        </w:trPr>
        <w:tc>
          <w:tcPr>
            <w:tcW w:w="894" w:type="dxa"/>
            <w:tcBorders>
              <w:top w:val="outset" w:color="FFFFFF" w:sz="6"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outset" w:color="FFFFFF" w:sz="6"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outset" w:color="FFFFFF" w:sz="6"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outset" w:color="FFFFFF" w:sz="6"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outset" w:color="FFFFFF" w:sz="6"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outset" w:color="FFFFFF" w:sz="6"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outset" w:color="FFFFFF" w:sz="6"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outset" w:color="FFFFFF" w:sz="6"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70" w:hRule="atLeast"/>
          <w:jc w:val="center"/>
        </w:trPr>
        <w:tc>
          <w:tcPr>
            <w:tcW w:w="89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p>
        </w:tc>
      </w:tr>
      <w:tr>
        <w:tblPrEx>
          <w:tblLayout w:type="fixed"/>
          <w:tblCellMar>
            <w:top w:w="0" w:type="dxa"/>
            <w:left w:w="0" w:type="dxa"/>
            <w:bottom w:w="0" w:type="dxa"/>
            <w:right w:w="0" w:type="dxa"/>
          </w:tblCellMar>
        </w:tblPrEx>
        <w:trPr>
          <w:trHeight w:val="555"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5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8"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8"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8"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94" w:type="dxa"/>
            <w:tcBorders>
              <w:top w:val="single" w:color="auto" w:sz="4"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30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5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5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484" w:type="dxa"/>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2"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830"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225" w:type="dxa"/>
            <w:tcBorders>
              <w:top w:val="single" w:color="auto" w:sz="4" w:space="0"/>
              <w:left w:val="outset" w:color="FFFFFF" w:sz="6" w:space="0"/>
              <w:bottom w:val="single" w:color="auto" w:sz="4" w:space="0"/>
              <w:right w:val="single" w:color="auto" w:sz="4"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p>
        </w:tc>
        <w:tc>
          <w:tcPr>
            <w:tcW w:w="1106" w:type="dxa"/>
            <w:tcBorders>
              <w:top w:val="single" w:color="auto" w:sz="4" w:space="0"/>
              <w:left w:val="single" w:color="auto" w:sz="4" w:space="0"/>
              <w:bottom w:val="single" w:color="auto" w:sz="4" w:space="0"/>
              <w:right w:val="single" w:color="auto" w:sz="8" w:space="0"/>
            </w:tcBorders>
            <w:shd w:val="clear" w:color="auto" w:fill="auto"/>
            <w:vAlign w:val="center"/>
          </w:tcPr>
          <w:p>
            <w:pPr>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284" w:hRule="atLeast"/>
          <w:jc w:val="center"/>
        </w:trPr>
        <w:tc>
          <w:tcPr>
            <w:tcW w:w="8266" w:type="dxa"/>
            <w:gridSpan w:val="13"/>
            <w:tcBorders>
              <w:top w:val="sing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left"/>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合计人民币（大写）：</w:t>
            </w:r>
          </w:p>
        </w:tc>
      </w:tr>
    </w:tbl>
    <w:p>
      <w:pPr>
        <w:widowControl/>
        <w:shd w:val="clear" w:color="auto" w:fill="FFFFFF"/>
        <w:spacing w:line="345" w:lineRule="atLeast"/>
        <w:ind w:firstLine="480" w:firstLineChars="200"/>
        <w:jc w:val="left"/>
        <w:rPr>
          <w:rFonts w:ascii="华文仿宋" w:hAnsi="华文仿宋" w:eastAsia="华文仿宋" w:cs="宋体"/>
          <w:color w:val="333333"/>
          <w:kern w:val="0"/>
          <w:sz w:val="24"/>
          <w:szCs w:val="24"/>
        </w:rPr>
      </w:pPr>
    </w:p>
    <w:p>
      <w:pPr>
        <w:widowControl/>
        <w:shd w:val="clear" w:color="auto" w:fill="FFFFFF"/>
        <w:spacing w:line="345" w:lineRule="atLeast"/>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color w:val="333333"/>
          <w:kern w:val="0"/>
          <w:sz w:val="24"/>
          <w:szCs w:val="24"/>
        </w:rPr>
        <w:t>本协议按照《中华人民共和国协议法》等有关规定执行。买卖双方应严格遵守《中华人民共和国安全生产法》、《</w:t>
      </w:r>
      <w:r>
        <w:fldChar w:fldCharType="begin"/>
      </w:r>
      <w:r>
        <w:instrText xml:space="preserve"> HYPERLINK "http://www.gov.cn/zwgk/2006-01/25/content_170906.htm" \t "_blank" </w:instrText>
      </w:r>
      <w:r>
        <w:fldChar w:fldCharType="separate"/>
      </w:r>
      <w:r>
        <w:rPr>
          <w:rFonts w:hint="eastAsia" w:ascii="华文仿宋" w:hAnsi="华文仿宋" w:eastAsia="华文仿宋" w:cs="宋体"/>
          <w:color w:val="464445"/>
          <w:kern w:val="0"/>
          <w:sz w:val="24"/>
          <w:szCs w:val="24"/>
        </w:rPr>
        <w:t>烟花爆竹安全管理条例</w:t>
      </w:r>
      <w:r>
        <w:rPr>
          <w:rFonts w:hint="eastAsia" w:ascii="华文仿宋" w:hAnsi="华文仿宋" w:eastAsia="华文仿宋" w:cs="宋体"/>
          <w:color w:val="464445"/>
          <w:kern w:val="0"/>
          <w:sz w:val="24"/>
          <w:szCs w:val="24"/>
        </w:rPr>
        <w:fldChar w:fldCharType="end"/>
      </w:r>
      <w:r>
        <w:rPr>
          <w:rFonts w:hint="eastAsia" w:ascii="华文仿宋" w:hAnsi="华文仿宋" w:eastAsia="华文仿宋" w:cs="宋体"/>
          <w:color w:val="333333"/>
          <w:kern w:val="0"/>
          <w:sz w:val="24"/>
          <w:szCs w:val="24"/>
        </w:rPr>
        <w:t>》等有关法律法规的规定，依法经营，保障安全。</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第一条</w:t>
      </w:r>
      <w:r>
        <w:rPr>
          <w:rFonts w:hint="eastAsia" w:ascii="华文仿宋" w:hAnsi="华文仿宋" w:eastAsia="华文仿宋" w:cs="宋体"/>
          <w:color w:val="333333"/>
          <w:kern w:val="0"/>
          <w:sz w:val="24"/>
          <w:szCs w:val="24"/>
        </w:rPr>
        <w:t xml:space="preserve">  产品质量标准要求：</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第二条</w:t>
      </w:r>
      <w:r>
        <w:rPr>
          <w:rFonts w:hint="eastAsia" w:ascii="华文仿宋" w:hAnsi="华文仿宋" w:eastAsia="华文仿宋" w:cs="宋体"/>
          <w:color w:val="333333"/>
          <w:kern w:val="0"/>
          <w:sz w:val="24"/>
          <w:szCs w:val="24"/>
        </w:rPr>
        <w:t xml:space="preserve">  禁（限）用药物要求：</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第三条</w:t>
      </w:r>
      <w:r>
        <w:rPr>
          <w:rFonts w:hint="eastAsia" w:ascii="华文仿宋" w:hAnsi="华文仿宋" w:eastAsia="华文仿宋" w:cs="宋体"/>
          <w:color w:val="333333"/>
          <w:kern w:val="0"/>
          <w:sz w:val="24"/>
          <w:szCs w:val="24"/>
        </w:rPr>
        <w:t xml:space="preserve">  产品包装标准及要求：</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第四条</w:t>
      </w:r>
      <w:r>
        <w:rPr>
          <w:rFonts w:hint="eastAsia" w:ascii="华文仿宋" w:hAnsi="华文仿宋" w:eastAsia="华文仿宋" w:cs="宋体"/>
          <w:color w:val="333333"/>
          <w:kern w:val="0"/>
          <w:sz w:val="24"/>
          <w:szCs w:val="24"/>
        </w:rPr>
        <w:t xml:space="preserve">  提（交）货时间和地点：</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第五条</w:t>
      </w:r>
      <w:r>
        <w:rPr>
          <w:rFonts w:hint="eastAsia" w:ascii="华文仿宋" w:hAnsi="华文仿宋" w:eastAsia="华文仿宋" w:cs="宋体"/>
          <w:color w:val="333333"/>
          <w:kern w:val="0"/>
          <w:sz w:val="24"/>
          <w:szCs w:val="24"/>
        </w:rPr>
        <w:t xml:space="preserve">  运输方式及费用负担：</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第六条</w:t>
      </w:r>
      <w:r>
        <w:rPr>
          <w:rFonts w:hint="eastAsia" w:ascii="华文仿宋" w:hAnsi="华文仿宋" w:eastAsia="华文仿宋" w:cs="宋体"/>
          <w:color w:val="333333"/>
          <w:kern w:val="0"/>
          <w:sz w:val="24"/>
          <w:szCs w:val="24"/>
        </w:rPr>
        <w:t xml:space="preserve">  验收标准与方法：</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第七条</w:t>
      </w:r>
      <w:r>
        <w:rPr>
          <w:rFonts w:hint="eastAsia" w:ascii="华文仿宋" w:hAnsi="华文仿宋" w:eastAsia="华文仿宋" w:cs="宋体"/>
          <w:color w:val="333333"/>
          <w:kern w:val="0"/>
          <w:sz w:val="24"/>
          <w:szCs w:val="24"/>
        </w:rPr>
        <w:t xml:space="preserve">  提出异议期限：</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第八条</w:t>
      </w:r>
      <w:r>
        <w:rPr>
          <w:rFonts w:hint="eastAsia" w:ascii="华文仿宋" w:hAnsi="华文仿宋" w:eastAsia="华文仿宋" w:cs="宋体"/>
          <w:color w:val="333333"/>
          <w:kern w:val="0"/>
          <w:sz w:val="24"/>
          <w:szCs w:val="24"/>
        </w:rPr>
        <w:t xml:space="preserve">  结算方式及期限：</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第九条</w:t>
      </w:r>
      <w:r>
        <w:rPr>
          <w:rFonts w:hint="eastAsia" w:ascii="华文仿宋" w:hAnsi="华文仿宋" w:eastAsia="华文仿宋" w:cs="宋体"/>
          <w:color w:val="333333"/>
          <w:kern w:val="0"/>
          <w:sz w:val="24"/>
          <w:szCs w:val="24"/>
        </w:rPr>
        <w:t xml:space="preserve">  产品安全与质量责任：</w:t>
      </w:r>
      <w:r>
        <w:rPr>
          <w:rFonts w:hint="eastAsia" w:ascii="华文仿宋" w:hAnsi="华文仿宋" w:eastAsia="华文仿宋" w:cs="宋体"/>
          <w:color w:val="464445"/>
          <w:kern w:val="0"/>
          <w:sz w:val="24"/>
          <w:szCs w:val="24"/>
          <w:u w:val="single"/>
        </w:rPr>
        <w:t>                                                                    </w:t>
      </w:r>
    </w:p>
    <w:p>
      <w:pPr>
        <w:widowControl/>
        <w:shd w:val="clear" w:color="auto" w:fill="FFFFFF"/>
        <w:spacing w:line="300" w:lineRule="auto"/>
        <w:ind w:firstLine="480" w:firstLineChars="200"/>
        <w:jc w:val="left"/>
        <w:rPr>
          <w:rFonts w:ascii="华文仿宋" w:hAnsi="华文仿宋" w:eastAsia="华文仿宋" w:cs="宋体"/>
          <w:color w:val="464445"/>
          <w:kern w:val="0"/>
          <w:sz w:val="24"/>
          <w:szCs w:val="24"/>
        </w:rPr>
      </w:pPr>
      <w:r>
        <w:rPr>
          <w:rFonts w:hint="eastAsia" w:ascii="华文仿宋" w:hAnsi="华文仿宋" w:eastAsia="华文仿宋" w:cs="宋体"/>
          <w:b/>
          <w:color w:val="333333"/>
          <w:kern w:val="0"/>
          <w:sz w:val="24"/>
          <w:szCs w:val="24"/>
        </w:rPr>
        <w:t>第十条</w:t>
      </w:r>
      <w:r>
        <w:rPr>
          <w:rFonts w:hint="eastAsia" w:ascii="华文仿宋" w:hAnsi="华文仿宋" w:eastAsia="华文仿宋" w:cs="宋体"/>
          <w:color w:val="333333"/>
          <w:kern w:val="0"/>
          <w:sz w:val="24"/>
          <w:szCs w:val="24"/>
        </w:rPr>
        <w:t xml:space="preserve">  运输安全责任：</w:t>
      </w:r>
      <w:r>
        <w:rPr>
          <w:rFonts w:hint="eastAsia" w:ascii="华文仿宋" w:hAnsi="华文仿宋" w:eastAsia="华文仿宋" w:cs="宋体"/>
          <w:color w:val="464445"/>
          <w:kern w:val="0"/>
          <w:sz w:val="24"/>
          <w:szCs w:val="24"/>
          <w:u w:val="single"/>
        </w:rPr>
        <w:t>                                                                              </w:t>
      </w:r>
    </w:p>
    <w:p>
      <w:pPr>
        <w:pStyle w:val="8"/>
        <w:snapToGrid w:val="0"/>
        <w:spacing w:before="156" w:beforeLines="50" w:after="156" w:afterLines="50" w:line="300" w:lineRule="auto"/>
        <w:ind w:firstLine="480"/>
        <w:jc w:val="left"/>
        <w:rPr>
          <w:rFonts w:ascii="华文仿宋" w:hAnsi="华文仿宋" w:eastAsia="华文仿宋"/>
          <w:b/>
          <w:sz w:val="24"/>
          <w:szCs w:val="24"/>
        </w:rPr>
      </w:pPr>
      <w:r>
        <w:rPr>
          <w:rFonts w:hint="eastAsia" w:ascii="华文仿宋" w:hAnsi="华文仿宋" w:eastAsia="华文仿宋"/>
          <w:b/>
          <w:sz w:val="24"/>
          <w:szCs w:val="24"/>
        </w:rPr>
        <w:t>第十一条  违约责任</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（一）任何一方未履行本协议项下的任何一项条款均被视为违约。违约方应承担因自己的违约行为而给守约方造成的损失。</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（二）如甲方无法按本协议完成【</w:t>
      </w:r>
      <w:r>
        <w:rPr>
          <w:rFonts w:ascii="华文仿宋" w:hAnsi="华文仿宋" w:eastAsia="华文仿宋"/>
          <w:sz w:val="24"/>
          <w:szCs w:val="24"/>
        </w:rPr>
        <w:t>……</w:t>
      </w:r>
      <w:r>
        <w:rPr>
          <w:rFonts w:hint="eastAsia" w:ascii="华文仿宋" w:hAnsi="华文仿宋" w:eastAsia="华文仿宋"/>
          <w:sz w:val="24"/>
          <w:szCs w:val="24"/>
        </w:rPr>
        <w:t>服务/工作/义务】的，应向对方支付相当于协议总金额的____%的违约金；乙方有权直接从应支付的相应协议金额中扣除，并有权解除本协议。如乙方要求甲方继续履行本协议义务，则甲方应在乙方要求的时间内完成工作。</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（三）如乙方无正当理由未按协议规定向甲方支付协议金额，每迟延一天乙方应向甲方支付相当于延期付款额___%的违约金。</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（四）如一方违反本协议的保密条款，则另一方有权要求其承担相当于协议总金额____%的违约金。</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（五）如因一方行为侵害第三方合法权益的，该方应负责处理并承担所有责任。因此给对方造成损失的，该方应承担赔偿责任。</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（六）本协议所称之损失包括实际损失和协议履行后可以获得的利益、诉讼或仲裁费用、以及合理的调查费、律师费等相关法律费用。</w:t>
      </w:r>
    </w:p>
    <w:p>
      <w:pPr>
        <w:pStyle w:val="8"/>
        <w:snapToGrid w:val="0"/>
        <w:spacing w:before="156" w:beforeLines="50" w:after="156" w:afterLines="50" w:line="300" w:lineRule="auto"/>
        <w:ind w:firstLine="541" w:firstLineChars="225"/>
        <w:jc w:val="left"/>
        <w:rPr>
          <w:rFonts w:ascii="华文仿宋" w:hAnsi="华文仿宋" w:eastAsia="华文仿宋"/>
          <w:b/>
          <w:sz w:val="24"/>
          <w:szCs w:val="24"/>
        </w:rPr>
      </w:pPr>
      <w:r>
        <w:rPr>
          <w:rFonts w:hint="eastAsia" w:ascii="华文仿宋" w:hAnsi="华文仿宋" w:eastAsia="华文仿宋"/>
          <w:b/>
          <w:sz w:val="24"/>
          <w:szCs w:val="24"/>
        </w:rPr>
        <w:t>第十二条  不可抗力</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（一）本协议中“不可抗力”，指不能预知、无法避免并不能克服的事件，包括但不限于地震、台风、洪水、火灾、战争或商事惯例认可的其他事件。</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二）由于不可抗力事件，致使一方在履行其在履行本协议项下的义务的过程中遇到障碍或延误，不能按规定的条款全部或部分履行其义务的，遇到不可抗力的一方（“受阻方”），只要满足下列所有条件，不应视为违反本协议：</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1.受阻方不能全部或部分履行其义务，是由于不可抗力事件直接造成的，且在不可抗力事件发生前受阻方不存在迟延履行相关义务的情形；</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2.受阻方已尽最大努力履行其义务并减少由于不可抗力事件给另一方造成的损失；</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3.不可抗力事件发生时，受阻方已立即通知对方，并在不可抗力事件发生后的十五天内提供有关该事件的书面说明，书面说明中应当包括对延迟履行或部分履行本协议的原因说明。</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（三）不可抗力事件终止或被排除后，受阻方应继续履行本协议，并应尽快通知另一方。受阻方应可延长履行义务的时间，延长期应当相当于不可抗力事件实际造成延误的时间。</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四）如果不可抗力事件的影响持续达三十日或以上时，双方应根据该事件对本协议履行的影响程度协商对本协议予以修改或终止。如果一方发出书面协商通知之日起十日内双方无法就此达成一致，任何一方均有权解除本协议而无需承担违约责任。</w:t>
      </w:r>
    </w:p>
    <w:p>
      <w:pPr>
        <w:pStyle w:val="8"/>
        <w:snapToGrid w:val="0"/>
        <w:spacing w:before="156" w:beforeLines="50" w:after="156" w:afterLines="50" w:line="300" w:lineRule="auto"/>
        <w:ind w:firstLine="480"/>
        <w:jc w:val="left"/>
        <w:rPr>
          <w:rFonts w:ascii="华文仿宋" w:hAnsi="华文仿宋" w:eastAsia="华文仿宋"/>
          <w:b/>
          <w:sz w:val="24"/>
          <w:szCs w:val="24"/>
        </w:rPr>
      </w:pPr>
      <w:r>
        <w:rPr>
          <w:rFonts w:hint="eastAsia" w:ascii="华文仿宋" w:hAnsi="华文仿宋" w:eastAsia="华文仿宋"/>
          <w:b/>
          <w:sz w:val="24"/>
          <w:szCs w:val="24"/>
        </w:rPr>
        <w:t>第十三条  适用法律与争议解决</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（一）本协议的成立、效力、解释、履行、签署、修订和终止以及争议的解决均应适用____法律。</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二）因本协议引起或者与本协议有关的任何争议，双方应首先以协商方式解决。协商应在一方向另一方送达关于协商的书面要求后立即开始；如果十日内双方未能通过协商解除争议，的则双方同意按照以下第____种方式解决：</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1.因本协议引起或与本协议有关的任何争议，双方同意将争议提交有管辖权的人民法院解决。</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2.因本协议引起或与本协议有关的任何争议，均提请____仲裁委员会按照该会仲裁规则进行仲裁。仲裁裁决是终局的，对双方均有约束力，并可在任何有管辖权的法院或其他有权机构强制执行。除非仲裁裁决有不同规定，败诉方应支付双方因仲裁所发生的一切法律费用，包括但不限于律师费。</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（三）诉讼或仲裁进行过程中，除双方有争议的部分外，本协议其他部分仍然有效，各方应继续履行。</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四）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（五）本协议全部或部分无效的，本条依然有效。</w:t>
      </w:r>
    </w:p>
    <w:p>
      <w:pPr>
        <w:pStyle w:val="8"/>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第十四条  通知和送达</w:t>
      </w:r>
    </w:p>
    <w:p>
      <w:pPr>
        <w:pStyle w:val="8"/>
        <w:snapToGrid w:val="0"/>
        <w:spacing w:before="156" w:beforeLines="50" w:after="156" w:afterLines="50" w:line="300" w:lineRule="auto"/>
        <w:ind w:firstLine="480"/>
        <w:rPr>
          <w:rFonts w:ascii="华文仿宋" w:hAnsi="华文仿宋" w:eastAsia="华文仿宋"/>
          <w:sz w:val="24"/>
          <w:szCs w:val="24"/>
        </w:rPr>
      </w:pPr>
      <w:r>
        <w:rPr>
          <w:rFonts w:hint="eastAsia" w:ascii="华文仿宋" w:hAnsi="华文仿宋" w:eastAsia="华文仿宋"/>
          <w:sz w:val="24"/>
          <w:szCs w:val="24"/>
        </w:rPr>
        <w:t>（一）本协议的一方发给另一方的任何通知、文件或申请均应以书面形式通过挂号邮寄、特快专递、传真或专人送交的形式发出。挂号信件或特快专递的交寄日以邮戳为准。</w:t>
      </w:r>
    </w:p>
    <w:p>
      <w:pPr>
        <w:pStyle w:val="8"/>
        <w:numPr>
          <w:ilvl w:val="0"/>
          <w:numId w:val="1"/>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通知、文件或申请按照以下方式视为送达和生效：</w:t>
      </w:r>
    </w:p>
    <w:p>
      <w:pPr>
        <w:pStyle w:val="8"/>
        <w:snapToGrid w:val="0"/>
        <w:spacing w:before="156" w:beforeLines="50" w:after="156" w:afterLines="50" w:line="300" w:lineRule="auto"/>
        <w:ind w:firstLine="480"/>
        <w:rPr>
          <w:rFonts w:ascii="华文仿宋" w:hAnsi="华文仿宋" w:eastAsia="华文仿宋"/>
          <w:sz w:val="24"/>
          <w:szCs w:val="24"/>
        </w:rPr>
      </w:pPr>
      <w:r>
        <w:rPr>
          <w:rFonts w:hint="eastAsia" w:ascii="华文仿宋" w:hAnsi="华文仿宋" w:eastAsia="华文仿宋"/>
          <w:sz w:val="24"/>
          <w:szCs w:val="24"/>
        </w:rPr>
        <w:t>1.以挂号方式发出的，发往内地地区的，发出后第四日视为送达；发往港、澳、台及境外其他国家或地区的，发出后第七日视为送达。</w:t>
      </w:r>
    </w:p>
    <w:p>
      <w:pPr>
        <w:pStyle w:val="8"/>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2.以特快专递形式发出的，发往内地地区的，发出后第三日视为送达；发往港、澳、台及境外其他国家或地区的，发出后第六日视为送达。</w:t>
      </w:r>
    </w:p>
    <w:p>
      <w:pPr>
        <w:pStyle w:val="8"/>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3.以传真方式发出的，以发件方式发送后打印出得发送确认单所示时间视为送达。</w:t>
      </w:r>
    </w:p>
    <w:p>
      <w:pPr>
        <w:pStyle w:val="8"/>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4.如果以专人送交的方式，则在接收人工作人员签收或递出人员将有关文件置留于接收人的地址时，视为送达。</w:t>
      </w:r>
    </w:p>
    <w:p>
      <w:pPr>
        <w:pStyle w:val="8"/>
        <w:snapToGrid w:val="0"/>
        <w:spacing w:before="156" w:beforeLines="50" w:after="156" w:afterLines="50" w:line="300" w:lineRule="auto"/>
        <w:ind w:left="420" w:firstLine="0" w:firstLineChars="0"/>
        <w:rPr>
          <w:rFonts w:ascii="华文仿宋" w:hAnsi="华文仿宋" w:eastAsia="华文仿宋"/>
          <w:sz w:val="24"/>
          <w:szCs w:val="24"/>
        </w:rPr>
      </w:pPr>
      <w:r>
        <w:rPr>
          <w:rFonts w:hint="eastAsia" w:ascii="华文仿宋" w:hAnsi="华文仿宋" w:eastAsia="华文仿宋"/>
          <w:sz w:val="24"/>
          <w:szCs w:val="24"/>
        </w:rPr>
        <w:t>（三）根据本协议发出的上述通知、文件或申请应送达下列地址和号码：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甲    方：</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地    址：</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邮政编码：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电话号码：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传真号码：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收 件 人：</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乙    方：</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地    址：</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邮政编码：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电话号码：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传真号码：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收 件 人：</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如任何一方的地址有变更时，需在变更前十日以书面形式通知对方。因迟延通知而造成的损失，由过错方承担责任。</w:t>
      </w:r>
    </w:p>
    <w:p>
      <w:pPr>
        <w:pStyle w:val="8"/>
        <w:snapToGrid w:val="0"/>
        <w:spacing w:before="156" w:beforeLines="50" w:after="156" w:afterLines="50" w:line="300" w:lineRule="auto"/>
        <w:ind w:firstLine="480"/>
        <w:jc w:val="left"/>
        <w:rPr>
          <w:rFonts w:ascii="华文仿宋" w:hAnsi="华文仿宋" w:eastAsia="华文仿宋"/>
          <w:b/>
          <w:sz w:val="24"/>
          <w:szCs w:val="24"/>
        </w:rPr>
      </w:pPr>
      <w:r>
        <w:rPr>
          <w:rFonts w:hint="eastAsia" w:ascii="华文仿宋" w:hAnsi="华文仿宋" w:eastAsia="华文仿宋"/>
          <w:b/>
          <w:sz w:val="24"/>
          <w:szCs w:val="24"/>
        </w:rPr>
        <w:t>第十五条  附件条款</w:t>
      </w:r>
    </w:p>
    <w:p>
      <w:pPr>
        <w:snapToGrid w:val="0"/>
        <w:spacing w:before="156" w:beforeLines="50" w:after="156" w:afterLines="50" w:line="300" w:lineRule="auto"/>
        <w:ind w:firstLine="480" w:firstLineChars="200"/>
        <w:jc w:val="left"/>
        <w:rPr>
          <w:rFonts w:ascii="华文仿宋" w:hAnsi="华文仿宋" w:eastAsia="华文仿宋"/>
          <w:sz w:val="24"/>
          <w:szCs w:val="24"/>
        </w:rPr>
      </w:pPr>
      <w:r>
        <w:rPr>
          <w:rFonts w:hint="eastAsia" w:ascii="华文仿宋" w:hAnsi="华文仿宋" w:eastAsia="华文仿宋"/>
          <w:sz w:val="24"/>
          <w:szCs w:val="24"/>
        </w:rPr>
        <w:t>协议附件为本协议的组成部分，与本协议正文具有同等法律效力。若协议附件与协议正文有冲突，以协议正文为准。</w:t>
      </w:r>
    </w:p>
    <w:p>
      <w:pPr>
        <w:pStyle w:val="8"/>
        <w:snapToGrid w:val="0"/>
        <w:spacing w:before="156" w:beforeLines="50" w:after="156" w:afterLines="50" w:line="300" w:lineRule="auto"/>
        <w:ind w:firstLine="480"/>
        <w:jc w:val="left"/>
        <w:rPr>
          <w:rFonts w:ascii="华文仿宋" w:hAnsi="华文仿宋" w:eastAsia="华文仿宋"/>
          <w:b/>
          <w:sz w:val="24"/>
          <w:szCs w:val="24"/>
        </w:rPr>
      </w:pPr>
      <w:r>
        <w:rPr>
          <w:rFonts w:hint="eastAsia" w:ascii="华文仿宋" w:hAnsi="华文仿宋" w:eastAsia="华文仿宋"/>
          <w:b/>
          <w:sz w:val="24"/>
          <w:szCs w:val="24"/>
        </w:rPr>
        <w:t>第十六条  协议生效</w:t>
      </w:r>
    </w:p>
    <w:p>
      <w:pPr>
        <w:snapToGrid w:val="0"/>
        <w:spacing w:before="156" w:beforeLines="50" w:after="156" w:afterLines="50" w:line="300" w:lineRule="auto"/>
        <w:ind w:firstLine="480" w:firstLineChars="200"/>
        <w:jc w:val="left"/>
        <w:rPr>
          <w:rFonts w:ascii="华文仿宋" w:hAnsi="华文仿宋" w:eastAsia="华文仿宋"/>
          <w:sz w:val="24"/>
          <w:szCs w:val="24"/>
        </w:rPr>
      </w:pPr>
      <w:r>
        <w:rPr>
          <w:rFonts w:hint="eastAsia" w:ascii="华文仿宋" w:hAnsi="华文仿宋" w:eastAsia="华文仿宋"/>
          <w:sz w:val="24"/>
          <w:szCs w:val="24"/>
        </w:rPr>
        <w:t>本协议自下列条件全部成就之日起生效：</w:t>
      </w:r>
    </w:p>
    <w:p>
      <w:pPr>
        <w:pStyle w:val="8"/>
        <w:numPr>
          <w:ilvl w:val="0"/>
          <w:numId w:val="2"/>
        </w:numPr>
        <w:snapToGrid w:val="0"/>
        <w:spacing w:before="156" w:beforeLines="50" w:after="156" w:afterLines="50" w:line="300" w:lineRule="auto"/>
        <w:ind w:firstLineChars="0"/>
        <w:jc w:val="left"/>
        <w:rPr>
          <w:rFonts w:ascii="华文仿宋" w:hAnsi="华文仿宋" w:eastAsia="华文仿宋"/>
          <w:sz w:val="24"/>
          <w:szCs w:val="24"/>
        </w:rPr>
      </w:pPr>
      <w:r>
        <w:rPr>
          <w:rFonts w:hint="eastAsia" w:ascii="华文仿宋" w:hAnsi="华文仿宋" w:eastAsia="华文仿宋"/>
          <w:sz w:val="24"/>
          <w:szCs w:val="24"/>
        </w:rPr>
        <w:t>自双方盖章或有权签字人签字；</w:t>
      </w:r>
    </w:p>
    <w:p>
      <w:pPr>
        <w:pStyle w:val="8"/>
        <w:snapToGrid w:val="0"/>
        <w:spacing w:before="156" w:beforeLines="50" w:after="156" w:afterLines="50" w:line="300" w:lineRule="auto"/>
        <w:ind w:firstLineChars="0"/>
        <w:jc w:val="left"/>
        <w:rPr>
          <w:rFonts w:ascii="华文仿宋" w:hAnsi="华文仿宋" w:eastAsia="华文仿宋"/>
          <w:sz w:val="24"/>
          <w:szCs w:val="24"/>
        </w:rPr>
      </w:pPr>
      <w:r>
        <w:rPr>
          <w:rFonts w:hint="eastAsia" w:ascii="华文仿宋" w:hAnsi="华文仿宋" w:eastAsia="华文仿宋"/>
          <w:sz w:val="24"/>
          <w:szCs w:val="24"/>
        </w:rPr>
        <w:t>（二）________________________</w:t>
      </w:r>
    </w:p>
    <w:p>
      <w:pPr>
        <w:pStyle w:val="8"/>
        <w:snapToGrid w:val="0"/>
        <w:spacing w:before="156" w:beforeLines="50" w:after="156" w:afterLines="50" w:line="300" w:lineRule="auto"/>
        <w:ind w:firstLine="480"/>
        <w:jc w:val="left"/>
        <w:rPr>
          <w:rFonts w:ascii="华文仿宋" w:hAnsi="华文仿宋" w:eastAsia="华文仿宋"/>
          <w:b/>
          <w:sz w:val="24"/>
          <w:szCs w:val="24"/>
        </w:rPr>
      </w:pPr>
      <w:r>
        <w:rPr>
          <w:rFonts w:hint="eastAsia" w:ascii="华文仿宋" w:hAnsi="华文仿宋" w:eastAsia="华文仿宋"/>
          <w:b/>
          <w:sz w:val="24"/>
          <w:szCs w:val="24"/>
        </w:rPr>
        <w:t>第十七条  其他</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一）协议完整性：本协议包括所有附件及对本协议及其任何附件的各项书面补充、修订或变更。一俟生效，本协议对协议双方均具有约束力，并取代此前就本协议项下各项交易达成或形成的任何口头或书面的协议、备忘录或其他任何文件。</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（二）可分割性：如果本协议的任何条款在任何司法管辖区不合法、无效或无法强制执行或成为不合法、无效或无法强制执行，其不应影响：</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（三）本协议任何其他条款在该等司法管辖区的有效性或可执行性；</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（四）本协议的该等条款或任何其他条款在其它司法管辖区的有效性或可执行性。</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（五）法律变化：如因适用法律、法规发生变化导致本协议的任何条款失效、违法或无法执行，双方将立即进行协商，对本协议的相关条款进行修改和补充。</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（六）协议修订：本协议未尽事宜，应由双方友好协商解决。如需对本协议及其附件做任何修改或补充，须由双方以书面做出方为有效。修改或补充文件与本协议有不一致的，以修改或补充文件为准。</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（七）如协议一方为法人，本协议签署前，该方应向对方提供其授权本协议签署人代表其签署本协议的授权文件。</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（八）本协议将保持其效力直至各方已完全履行协议项下的所有义务并且各方之间的所有付款和索赔已结清。</w:t>
      </w:r>
    </w:p>
    <w:p>
      <w:pPr>
        <w:pStyle w:val="8"/>
        <w:snapToGrid w:val="0"/>
        <w:spacing w:before="156" w:beforeLines="50" w:after="156" w:afterLines="50" w:line="300" w:lineRule="auto"/>
        <w:ind w:firstLine="480"/>
        <w:jc w:val="left"/>
        <w:rPr>
          <w:rFonts w:ascii="华文仿宋" w:hAnsi="华文仿宋" w:eastAsia="华文仿宋"/>
          <w:sz w:val="24"/>
          <w:szCs w:val="24"/>
        </w:rPr>
      </w:pPr>
      <w:r>
        <w:rPr>
          <w:rFonts w:hint="eastAsia" w:ascii="华文仿宋" w:hAnsi="华文仿宋" w:eastAsia="华文仿宋"/>
          <w:sz w:val="24"/>
          <w:szCs w:val="24"/>
        </w:rPr>
        <w:t>（九）本协议一式_____份，双方各执_____份，具有同等法律效力。</w:t>
      </w:r>
    </w:p>
    <w:p>
      <w:pPr>
        <w:snapToGrid w:val="0"/>
        <w:spacing w:before="156" w:beforeLines="50" w:after="156" w:afterLines="50" w:line="300" w:lineRule="auto"/>
        <w:ind w:firstLine="480" w:firstLineChars="200"/>
        <w:jc w:val="left"/>
        <w:rPr>
          <w:rFonts w:hint="eastAsia" w:ascii="华文仿宋" w:hAnsi="华文仿宋" w:eastAsia="华文仿宋"/>
          <w:sz w:val="24"/>
          <w:szCs w:val="24"/>
          <w:lang w:eastAsia="zh-CN"/>
        </w:rPr>
      </w:pPr>
      <w:r>
        <w:rPr>
          <w:rFonts w:hint="eastAsia" w:ascii="华文仿宋" w:hAnsi="华文仿宋" w:eastAsia="华文仿宋"/>
          <w:sz w:val="24"/>
          <w:szCs w:val="24"/>
          <w:lang w:val="en-US" w:eastAsia="zh-CN"/>
        </w:rPr>
        <w:t xml:space="preserve">               </w:t>
      </w:r>
    </w:p>
    <w:p>
      <w:pPr>
        <w:widowControl/>
        <w:shd w:val="clear" w:color="auto" w:fill="FFFFFF"/>
        <w:spacing w:line="345" w:lineRule="atLeast"/>
        <w:jc w:val="left"/>
        <w:rPr>
          <w:rFonts w:ascii="华文仿宋" w:hAnsi="华文仿宋" w:eastAsia="华文仿宋" w:cs="宋体"/>
          <w:b/>
          <w:bCs/>
          <w:color w:val="464445"/>
          <w:kern w:val="0"/>
          <w:sz w:val="24"/>
          <w:szCs w:val="24"/>
        </w:rPr>
      </w:pPr>
      <w:r>
        <w:rPr>
          <w:rFonts w:hint="eastAsia" w:ascii="华文仿宋" w:hAnsi="华文仿宋" w:eastAsia="华文仿宋" w:cs="宋体"/>
          <w:color w:val="464445"/>
          <w:kern w:val="0"/>
          <w:sz w:val="24"/>
          <w:szCs w:val="24"/>
        </w:rPr>
        <w:t>      </w:t>
      </w:r>
      <w:r>
        <w:rPr>
          <w:rFonts w:hint="eastAsia" w:ascii="华文仿宋" w:hAnsi="华文仿宋" w:eastAsia="华文仿宋" w:cs="宋体"/>
          <w:b/>
          <w:bCs/>
          <w:color w:val="464445"/>
          <w:kern w:val="0"/>
          <w:sz w:val="24"/>
          <w:szCs w:val="24"/>
        </w:rPr>
        <w:t>                                                                                                             </w:t>
      </w:r>
    </w:p>
    <w:tbl>
      <w:tblPr>
        <w:tblStyle w:val="6"/>
        <w:tblW w:w="8437" w:type="dxa"/>
        <w:tblInd w:w="0" w:type="dxa"/>
        <w:tblLayout w:type="fixed"/>
        <w:tblCellMar>
          <w:top w:w="0" w:type="dxa"/>
          <w:left w:w="0" w:type="dxa"/>
          <w:bottom w:w="0" w:type="dxa"/>
          <w:right w:w="0" w:type="dxa"/>
        </w:tblCellMar>
      </w:tblPr>
      <w:tblGrid>
        <w:gridCol w:w="927"/>
        <w:gridCol w:w="1519"/>
        <w:gridCol w:w="675"/>
        <w:gridCol w:w="1097"/>
        <w:gridCol w:w="928"/>
        <w:gridCol w:w="1266"/>
        <w:gridCol w:w="759"/>
        <w:gridCol w:w="1266"/>
      </w:tblGrid>
      <w:tr>
        <w:tblPrEx>
          <w:tblLayout w:type="fixed"/>
          <w:tblCellMar>
            <w:top w:w="0" w:type="dxa"/>
            <w:left w:w="0" w:type="dxa"/>
            <w:bottom w:w="0" w:type="dxa"/>
            <w:right w:w="0" w:type="dxa"/>
          </w:tblCellMar>
        </w:tblPrEx>
        <w:trPr>
          <w:trHeight w:val="737" w:hRule="atLeast"/>
        </w:trPr>
        <w:tc>
          <w:tcPr>
            <w:tcW w:w="8437" w:type="dxa"/>
            <w:gridSpan w:val="8"/>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b/>
                <w:bCs/>
                <w:color w:val="464445"/>
                <w:kern w:val="0"/>
                <w:sz w:val="24"/>
                <w:szCs w:val="24"/>
              </w:rPr>
              <w:t>购  货  单  位 （ 章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单位名称</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许可证编号</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单位地址</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邮政编码</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51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法定代表人</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（签字）</w:t>
            </w:r>
          </w:p>
        </w:tc>
        <w:tc>
          <w:tcPr>
            <w:tcW w:w="1519"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75"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联系电话</w:t>
            </w:r>
          </w:p>
        </w:tc>
        <w:tc>
          <w:tcPr>
            <w:tcW w:w="1097"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委托代理人</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（签字）</w:t>
            </w:r>
          </w:p>
        </w:tc>
        <w:tc>
          <w:tcPr>
            <w:tcW w:w="1266"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59"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联系电话</w:t>
            </w:r>
          </w:p>
        </w:tc>
        <w:tc>
          <w:tcPr>
            <w:tcW w:w="1266"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电子邮箱</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电子邮箱</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开户银行</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账  户</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737" w:hRule="atLeast"/>
        </w:trPr>
        <w:tc>
          <w:tcPr>
            <w:tcW w:w="8437" w:type="dxa"/>
            <w:gridSpan w:val="8"/>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b/>
                <w:bCs/>
                <w:color w:val="464445"/>
                <w:kern w:val="0"/>
                <w:sz w:val="24"/>
                <w:szCs w:val="24"/>
              </w:rPr>
              <w:t>供  货  单  位 （ 章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单位名称</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许可证编号</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单位地址</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邮政编码</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51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法定代表人</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（签字）</w:t>
            </w:r>
          </w:p>
        </w:tc>
        <w:tc>
          <w:tcPr>
            <w:tcW w:w="1519"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675"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联系电话</w:t>
            </w:r>
          </w:p>
        </w:tc>
        <w:tc>
          <w:tcPr>
            <w:tcW w:w="1097"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委托代理人</w:t>
            </w:r>
            <w:r>
              <w:rPr>
                <w:rFonts w:hint="eastAsia" w:ascii="华文仿宋" w:hAnsi="华文仿宋" w:eastAsia="华文仿宋" w:cs="宋体"/>
                <w:color w:val="464445"/>
                <w:kern w:val="0"/>
                <w:sz w:val="24"/>
                <w:szCs w:val="24"/>
              </w:rPr>
              <w:br w:type="textWrapping"/>
            </w:r>
            <w:r>
              <w:rPr>
                <w:rFonts w:hint="eastAsia" w:ascii="华文仿宋" w:hAnsi="华文仿宋" w:eastAsia="华文仿宋" w:cs="宋体"/>
                <w:color w:val="464445"/>
                <w:kern w:val="0"/>
                <w:sz w:val="24"/>
                <w:szCs w:val="24"/>
              </w:rPr>
              <w:t>（签字）</w:t>
            </w:r>
          </w:p>
        </w:tc>
        <w:tc>
          <w:tcPr>
            <w:tcW w:w="1266"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759"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联系电话</w:t>
            </w:r>
          </w:p>
        </w:tc>
        <w:tc>
          <w:tcPr>
            <w:tcW w:w="1266"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电子邮箱</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电子邮箱</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r>
        <w:tblPrEx>
          <w:tblLayout w:type="fixed"/>
          <w:tblCellMar>
            <w:top w:w="0" w:type="dxa"/>
            <w:left w:w="0" w:type="dxa"/>
            <w:bottom w:w="0" w:type="dxa"/>
            <w:right w:w="0" w:type="dxa"/>
          </w:tblCellMar>
        </w:tblPrEx>
        <w:trPr>
          <w:trHeight w:val="680" w:hRule="atLeast"/>
        </w:trPr>
        <w:tc>
          <w:tcPr>
            <w:tcW w:w="927" w:type="dxa"/>
            <w:tcBorders>
              <w:top w:val="outset" w:color="FFFFFF"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开户银行</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c>
          <w:tcPr>
            <w:tcW w:w="928" w:type="dxa"/>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账  户</w:t>
            </w:r>
          </w:p>
        </w:tc>
        <w:tc>
          <w:tcPr>
            <w:tcW w:w="3291" w:type="dxa"/>
            <w:gridSpan w:val="3"/>
            <w:tcBorders>
              <w:top w:val="outset" w:color="FFFFFF" w:sz="6" w:space="0"/>
              <w:left w:val="outset" w:color="FFFFFF"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jc w:val="center"/>
              <w:rPr>
                <w:rFonts w:ascii="华文仿宋" w:hAnsi="华文仿宋" w:eastAsia="华文仿宋" w:cs="宋体"/>
                <w:color w:val="464445"/>
                <w:kern w:val="0"/>
                <w:sz w:val="24"/>
                <w:szCs w:val="24"/>
              </w:rPr>
            </w:pPr>
            <w:r>
              <w:rPr>
                <w:rFonts w:hint="eastAsia" w:ascii="华文仿宋" w:hAnsi="华文仿宋" w:eastAsia="华文仿宋" w:cs="宋体"/>
                <w:color w:val="464445"/>
                <w:kern w:val="0"/>
                <w:sz w:val="24"/>
                <w:szCs w:val="24"/>
              </w:rPr>
              <w:t> </w:t>
            </w:r>
          </w:p>
        </w:tc>
      </w:tr>
    </w:tbl>
    <w:p>
      <w:pPr>
        <w:widowControl/>
        <w:shd w:val="clear" w:color="auto" w:fill="FFFFFF"/>
        <w:spacing w:line="345" w:lineRule="atLeast"/>
        <w:jc w:val="right"/>
        <w:rPr>
          <w:rFonts w:hint="eastAsia" w:ascii="华文仿宋" w:hAnsi="华文仿宋" w:eastAsia="华文仿宋" w:cs="宋体"/>
          <w:color w:val="464445"/>
          <w:kern w:val="0"/>
          <w:sz w:val="24"/>
          <w:szCs w:val="24"/>
        </w:rPr>
      </w:pPr>
    </w:p>
    <w:p>
      <w:pPr>
        <w:widowControl/>
        <w:shd w:val="clear" w:color="auto" w:fill="FFFFFF"/>
        <w:spacing w:line="345" w:lineRule="atLeast"/>
        <w:jc w:val="right"/>
        <w:rPr>
          <w:rFonts w:ascii="华文仿宋" w:hAnsi="华文仿宋" w:eastAsia="华文仿宋" w:cs="宋体"/>
          <w:color w:val="464445"/>
          <w:kern w:val="0"/>
          <w:sz w:val="24"/>
          <w:szCs w:val="24"/>
        </w:rPr>
      </w:pPr>
      <w:bookmarkStart w:id="0" w:name="_GoBack"/>
      <w:bookmarkEnd w:id="0"/>
      <w:r>
        <w:rPr>
          <w:rFonts w:hint="eastAsia" w:ascii="华文仿宋" w:hAnsi="华文仿宋" w:eastAsia="华文仿宋" w:cs="宋体"/>
          <w:color w:val="464445"/>
          <w:kern w:val="0"/>
          <w:sz w:val="24"/>
          <w:szCs w:val="24"/>
        </w:rPr>
        <w:t>有效期自</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年</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月</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日至</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年</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月</w:t>
      </w:r>
      <w:r>
        <w:rPr>
          <w:rFonts w:hint="eastAsia" w:ascii="华文仿宋" w:hAnsi="华文仿宋" w:eastAsia="华文仿宋" w:cs="宋体"/>
          <w:color w:val="464445"/>
          <w:kern w:val="0"/>
          <w:sz w:val="24"/>
          <w:szCs w:val="24"/>
          <w:u w:val="single"/>
        </w:rPr>
        <w:t>     </w:t>
      </w:r>
      <w:r>
        <w:rPr>
          <w:rFonts w:hint="eastAsia" w:ascii="华文仿宋" w:hAnsi="华文仿宋" w:eastAsia="华文仿宋" w:cs="宋体"/>
          <w:color w:val="464445"/>
          <w:kern w:val="0"/>
          <w:sz w:val="24"/>
          <w:szCs w:val="24"/>
        </w:rPr>
        <w:t>日</w:t>
      </w:r>
    </w:p>
    <w:p>
      <w:pPr>
        <w:rPr>
          <w:rFonts w:ascii="华文仿宋" w:hAnsi="华文仿宋" w:eastAsia="华文仿宋"/>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7711738"/>
    </w:sdtPr>
    <w:sdtContent>
      <w:p>
        <w:pPr>
          <w:pStyle w:val="2"/>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4CE2"/>
    <w:multiLevelType w:val="multilevel"/>
    <w:tmpl w:val="0A394CE2"/>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79E5202E"/>
    <w:multiLevelType w:val="multilevel"/>
    <w:tmpl w:val="79E5202E"/>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61F29"/>
    <w:rsid w:val="0024278F"/>
    <w:rsid w:val="00361F29"/>
    <w:rsid w:val="00755B64"/>
    <w:rsid w:val="008400AE"/>
    <w:rsid w:val="009D3474"/>
    <w:rsid w:val="00AE3B3E"/>
    <w:rsid w:val="00F40F8E"/>
    <w:rsid w:val="5F754E4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apple-converted-space"/>
    <w:basedOn w:val="4"/>
    <w:uiPriority w:val="0"/>
  </w:style>
  <w:style w:type="paragraph" w:customStyle="1" w:styleId="8">
    <w:name w:val="列出段落1"/>
    <w:basedOn w:val="1"/>
    <w:qFormat/>
    <w:uiPriority w:val="34"/>
    <w:pPr>
      <w:ind w:firstLine="420" w:firstLineChars="200"/>
    </w:pPr>
    <w:rPr>
      <w:rFonts w:ascii="Calibri" w:hAnsi="Calibri" w:eastAsia="宋体" w:cs="Times New Roman"/>
    </w:rPr>
  </w:style>
  <w:style w:type="character" w:customStyle="1" w:styleId="9">
    <w:name w:val="页眉 Char"/>
    <w:basedOn w:val="4"/>
    <w:link w:val="3"/>
    <w:semiHidden/>
    <w:uiPriority w:val="99"/>
    <w:rPr>
      <w:sz w:val="18"/>
      <w:szCs w:val="18"/>
    </w:rPr>
  </w:style>
  <w:style w:type="character" w:customStyle="1" w:styleId="10">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678</Words>
  <Characters>3870</Characters>
  <Lines>32</Lines>
  <Paragraphs>9</Paragraphs>
  <TotalTime>0</TotalTime>
  <ScaleCrop>false</ScaleCrop>
  <LinksUpToDate>false</LinksUpToDate>
  <CharactersWithSpaces>4539</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3</cp:revision>
  <dcterms:created xsi:type="dcterms:W3CDTF">2015-12-21T03:03:00Z</dcterms:created>
  <dcterms:modified xsi:type="dcterms:W3CDTF">2016-05-19T05:57:51Z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